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1A0D8" w14:textId="77777777" w:rsidR="00D8429D" w:rsidRPr="000552AA" w:rsidRDefault="00D8429D" w:rsidP="00D8429D">
      <w:pPr>
        <w:spacing w:after="0" w:line="240" w:lineRule="auto"/>
        <w:jc w:val="center"/>
        <w:rPr>
          <w:rFonts w:cstheme="minorHAnsi"/>
          <w:b/>
          <w:bCs/>
        </w:rPr>
      </w:pPr>
      <w:r w:rsidRPr="000552AA">
        <w:rPr>
          <w:rFonts w:cstheme="minorHAnsi"/>
          <w:b/>
          <w:bCs/>
        </w:rPr>
        <w:t>CALIFORNIA TRANSPARENCY IN SUPPLY CHAINS ACT OF 2010</w:t>
      </w:r>
    </w:p>
    <w:p w14:paraId="7A7450D0" w14:textId="77777777" w:rsidR="00D8429D" w:rsidRPr="000552AA" w:rsidRDefault="00D8429D" w:rsidP="00D8429D">
      <w:pPr>
        <w:spacing w:after="0" w:line="240" w:lineRule="auto"/>
        <w:rPr>
          <w:rFonts w:cstheme="minorHAnsi"/>
        </w:rPr>
      </w:pPr>
    </w:p>
    <w:p w14:paraId="591AFBC0" w14:textId="4A1A2B87" w:rsidR="009F032E" w:rsidRPr="000552AA" w:rsidRDefault="009F032E" w:rsidP="009F032E">
      <w:pPr>
        <w:spacing w:after="0" w:line="240" w:lineRule="auto"/>
        <w:ind w:firstLine="720"/>
        <w:rPr>
          <w:rFonts w:cstheme="minorHAnsi"/>
        </w:rPr>
      </w:pPr>
      <w:r w:rsidRPr="000552AA">
        <w:rPr>
          <w:rFonts w:cstheme="minorHAnsi"/>
        </w:rPr>
        <w:t>Bumble Bee is committed to conducting business ethically and responsibly. In compliance with the California Transparency in Supply Chains Act, we are committed to implementing robust policies and procedures that promote transparency, accountability, and continuous improvement throughout our operations and supplier relationships. The following disclosure outlines the steps we take to prevent and address risks of forced labor and human trafficking in our supply chain:</w:t>
      </w:r>
    </w:p>
    <w:p w14:paraId="3ACFD8FC" w14:textId="77777777" w:rsidR="00D8429D" w:rsidRPr="000552AA" w:rsidRDefault="00D8429D" w:rsidP="00D8429D">
      <w:pPr>
        <w:spacing w:after="0" w:line="240" w:lineRule="auto"/>
        <w:rPr>
          <w:rFonts w:cstheme="minorHAnsi"/>
        </w:rPr>
      </w:pPr>
    </w:p>
    <w:p w14:paraId="27B706E1" w14:textId="77777777" w:rsidR="009F032E" w:rsidRPr="000552AA" w:rsidRDefault="001F749C">
      <w:pPr>
        <w:pStyle w:val="ListParagraph"/>
        <w:numPr>
          <w:ilvl w:val="0"/>
          <w:numId w:val="1"/>
        </w:numPr>
        <w:spacing w:after="0" w:line="240" w:lineRule="auto"/>
        <w:ind w:left="1440"/>
        <w:rPr>
          <w:rFonts w:cstheme="minorHAnsi"/>
        </w:rPr>
      </w:pPr>
      <w:r w:rsidRPr="000552AA">
        <w:rPr>
          <w:rFonts w:cstheme="minorHAnsi"/>
          <w:u w:val="single"/>
        </w:rPr>
        <w:t>Product Supply Chain Verification</w:t>
      </w:r>
      <w:r w:rsidRPr="000552AA">
        <w:rPr>
          <w:rFonts w:cstheme="minorHAnsi"/>
        </w:rPr>
        <w:t xml:space="preserve">. </w:t>
      </w:r>
      <w:r w:rsidR="009F032E" w:rsidRPr="000552AA">
        <w:rPr>
          <w:rFonts w:cstheme="minorHAnsi"/>
        </w:rPr>
        <w:t xml:space="preserve">As part of onboarding new direct suppliers, the Company ensures that the suppliers receive and understand the Company’s </w:t>
      </w:r>
      <w:r w:rsidR="009F032E" w:rsidRPr="000552AA">
        <w:rPr>
          <w:rFonts w:cstheme="minorHAnsi"/>
          <w:i/>
          <w:iCs/>
        </w:rPr>
        <w:t>Supplier Code of Conduct</w:t>
      </w:r>
      <w:r w:rsidR="009F032E" w:rsidRPr="000552AA">
        <w:rPr>
          <w:rFonts w:cstheme="minorHAnsi"/>
        </w:rPr>
        <w:t>.  First tier suppliers certify that materials incorporated into the Company’s products comply with the laws regarding slavery and human trafficking of the country or countries in which they conduct business through their agreement to comply with our Supplier Code of Conduct.</w:t>
      </w:r>
    </w:p>
    <w:p w14:paraId="2BC9AD0B" w14:textId="77777777" w:rsidR="009F032E" w:rsidRPr="000552AA" w:rsidRDefault="009F032E" w:rsidP="009F032E">
      <w:pPr>
        <w:pStyle w:val="ListParagraph"/>
        <w:spacing w:after="0" w:line="240" w:lineRule="auto"/>
        <w:ind w:left="1440"/>
        <w:rPr>
          <w:rFonts w:cstheme="minorHAnsi"/>
          <w:u w:val="single"/>
        </w:rPr>
      </w:pPr>
    </w:p>
    <w:p w14:paraId="52C4189B" w14:textId="338FB96F" w:rsidR="00D8429D" w:rsidRPr="000552AA" w:rsidRDefault="001F749C" w:rsidP="009F032E">
      <w:pPr>
        <w:pStyle w:val="ListParagraph"/>
        <w:spacing w:after="0" w:line="240" w:lineRule="auto"/>
        <w:ind w:left="1440"/>
        <w:rPr>
          <w:rFonts w:cstheme="minorHAnsi"/>
        </w:rPr>
      </w:pPr>
      <w:r w:rsidRPr="000552AA">
        <w:rPr>
          <w:rFonts w:cstheme="minorHAnsi"/>
        </w:rPr>
        <w:t>Each new supplier’s information is submitted to a third-party service provider for risk assessment at the time of onboarding. This provider utilizes a comprehensive due diligence program that includes screenings, reports, and continuous monitoring. Suppliers are screened against an extensive risk intelligence database, which covers regulatory lists, media publications, and adverse media profiles. Automated risk scoring processes analyze data from various sources to support holistic risk management. Importantly, this third-party service continues to monitor suppliers after onboarding and promptly alerts the Company to any new findings or risks associated with those suppliers. This ongoing, third-party verification process helps ensure that our supply chain remains free from risks related to human trafficking and slavery.</w:t>
      </w:r>
    </w:p>
    <w:p w14:paraId="51DA6D73" w14:textId="6A37C3BA" w:rsidR="0027145B" w:rsidRPr="000552AA" w:rsidRDefault="0027145B" w:rsidP="0027145B">
      <w:pPr>
        <w:pStyle w:val="ListParagraph"/>
        <w:spacing w:after="0" w:line="240" w:lineRule="auto"/>
        <w:ind w:left="1440"/>
        <w:rPr>
          <w:rFonts w:cstheme="minorHAnsi"/>
        </w:rPr>
      </w:pPr>
    </w:p>
    <w:p w14:paraId="57B96967" w14:textId="1C790641" w:rsidR="0040213E" w:rsidRPr="000552AA" w:rsidRDefault="001F749C" w:rsidP="009F032E">
      <w:pPr>
        <w:pStyle w:val="ListParagraph"/>
        <w:numPr>
          <w:ilvl w:val="0"/>
          <w:numId w:val="1"/>
        </w:numPr>
        <w:spacing w:after="0" w:line="240" w:lineRule="auto"/>
        <w:ind w:left="1440"/>
        <w:rPr>
          <w:rFonts w:cstheme="minorHAnsi"/>
          <w:color w:val="000000"/>
        </w:rPr>
      </w:pPr>
      <w:r w:rsidRPr="000552AA">
        <w:rPr>
          <w:rFonts w:cstheme="minorHAnsi"/>
          <w:u w:val="single"/>
        </w:rPr>
        <w:t xml:space="preserve">Supplier </w:t>
      </w:r>
      <w:r w:rsidRPr="000552AA">
        <w:rPr>
          <w:rFonts w:cstheme="minorHAnsi"/>
          <w:color w:val="000000" w:themeColor="text1"/>
          <w:u w:val="single"/>
        </w:rPr>
        <w:t>Auditing</w:t>
      </w:r>
      <w:r w:rsidRPr="000552AA">
        <w:rPr>
          <w:rFonts w:cstheme="minorHAnsi"/>
          <w:color w:val="000000" w:themeColor="text1"/>
        </w:rPr>
        <w:t xml:space="preserve">.  </w:t>
      </w:r>
      <w:r w:rsidR="00ED266B" w:rsidRPr="000552AA">
        <w:rPr>
          <w:rFonts w:cstheme="minorHAnsi"/>
          <w:color w:val="000000" w:themeColor="text1"/>
        </w:rPr>
        <w:t>The Company’s supplier social audit policy requires direct land-based suppliers to agree to recurring SMETA 4-pillar social audits. These audits verify supplier compliance with standards focusing on labor practices, environmental responsibility, and ethical business conduct.</w:t>
      </w:r>
      <w:r w:rsidR="00D35F15" w:rsidRPr="000552AA">
        <w:rPr>
          <w:rFonts w:cstheme="minorHAnsi"/>
          <w:color w:val="000000" w:themeColor="text1"/>
        </w:rPr>
        <w:t xml:space="preserve"> </w:t>
      </w:r>
      <w:r w:rsidR="00921716" w:rsidRPr="000552AA">
        <w:rPr>
          <w:rFonts w:cstheme="minorHAnsi"/>
          <w:color w:val="000000" w:themeColor="text1"/>
        </w:rPr>
        <w:t>Audits must be unannounced or semi-</w:t>
      </w:r>
      <w:proofErr w:type="gramStart"/>
      <w:r w:rsidR="00921716" w:rsidRPr="000552AA">
        <w:rPr>
          <w:rFonts w:cstheme="minorHAnsi"/>
          <w:color w:val="000000" w:themeColor="text1"/>
        </w:rPr>
        <w:t xml:space="preserve">announced, </w:t>
      </w:r>
      <w:r w:rsidR="00000C66" w:rsidRPr="000552AA">
        <w:rPr>
          <w:rFonts w:cstheme="minorHAnsi"/>
          <w:color w:val="000000" w:themeColor="text1"/>
        </w:rPr>
        <w:t>and</w:t>
      </w:r>
      <w:proofErr w:type="gramEnd"/>
      <w:r w:rsidR="00000C66" w:rsidRPr="000552AA">
        <w:rPr>
          <w:rFonts w:cstheme="minorHAnsi"/>
          <w:color w:val="000000" w:themeColor="text1"/>
        </w:rPr>
        <w:t xml:space="preserve"> conducted</w:t>
      </w:r>
      <w:r w:rsidR="00D35F15" w:rsidRPr="000552AA">
        <w:rPr>
          <w:rFonts w:cstheme="minorHAnsi"/>
          <w:color w:val="000000" w:themeColor="text1"/>
        </w:rPr>
        <w:t xml:space="preserve"> by an auditing company that is Sedex Approved and APSCA-certified. </w:t>
      </w:r>
      <w:r w:rsidR="00D8429D" w:rsidRPr="000552AA">
        <w:rPr>
          <w:rFonts w:cstheme="minorHAnsi"/>
          <w:color w:val="000000" w:themeColor="text1"/>
        </w:rPr>
        <w:t xml:space="preserve">As part of this process, the Company reviews the extent of controls that suppliers have in place to ensure compliance with Company standards regarding human </w:t>
      </w:r>
      <w:r w:rsidR="00D8429D" w:rsidRPr="000552AA">
        <w:rPr>
          <w:rFonts w:cstheme="minorHAnsi"/>
          <w:color w:val="000000"/>
        </w:rPr>
        <w:t>trafficking and slavery.</w:t>
      </w:r>
    </w:p>
    <w:p w14:paraId="52129294" w14:textId="77777777" w:rsidR="00D8429D" w:rsidRPr="000552AA" w:rsidRDefault="00D8429D" w:rsidP="009F032E">
      <w:pPr>
        <w:pStyle w:val="Default"/>
        <w:rPr>
          <w:rFonts w:asciiTheme="minorHAnsi" w:hAnsiTheme="minorHAnsi" w:cstheme="minorHAnsi"/>
          <w:sz w:val="22"/>
          <w:szCs w:val="22"/>
        </w:rPr>
      </w:pPr>
    </w:p>
    <w:p w14:paraId="2D8E1F51" w14:textId="2E35DD81" w:rsidR="00D8429D" w:rsidRPr="000552AA" w:rsidRDefault="001F749C" w:rsidP="00D8429D">
      <w:pPr>
        <w:pStyle w:val="ListParagraph"/>
        <w:numPr>
          <w:ilvl w:val="0"/>
          <w:numId w:val="1"/>
        </w:numPr>
        <w:spacing w:after="0" w:line="240" w:lineRule="auto"/>
        <w:ind w:left="1440"/>
        <w:rPr>
          <w:rFonts w:cstheme="minorHAnsi"/>
        </w:rPr>
      </w:pPr>
      <w:r w:rsidRPr="000552AA">
        <w:rPr>
          <w:rFonts w:cstheme="minorHAnsi"/>
          <w:u w:val="single"/>
        </w:rPr>
        <w:t>Internal Accountability Standards</w:t>
      </w:r>
      <w:r w:rsidRPr="000552AA">
        <w:rPr>
          <w:rFonts w:cstheme="minorHAnsi"/>
        </w:rPr>
        <w:t xml:space="preserve">. </w:t>
      </w:r>
      <w:r w:rsidR="00D8429D" w:rsidRPr="000552AA">
        <w:rPr>
          <w:rFonts w:cstheme="minorHAnsi"/>
        </w:rPr>
        <w:t xml:space="preserve">The Company </w:t>
      </w:r>
      <w:r w:rsidR="00623E3C" w:rsidRPr="000552AA">
        <w:rPr>
          <w:rFonts w:cstheme="minorHAnsi"/>
        </w:rPr>
        <w:t>has a</w:t>
      </w:r>
      <w:r w:rsidR="0027145B" w:rsidRPr="000552AA">
        <w:rPr>
          <w:rFonts w:cstheme="minorHAnsi"/>
        </w:rPr>
        <w:t>n internal</w:t>
      </w:r>
      <w:r w:rsidR="00623E3C" w:rsidRPr="000552AA">
        <w:rPr>
          <w:rFonts w:cstheme="minorHAnsi"/>
        </w:rPr>
        <w:t xml:space="preserve"> compliance program that includes a Code of Conduct that </w:t>
      </w:r>
      <w:r w:rsidR="0027145B" w:rsidRPr="000552AA">
        <w:rPr>
          <w:rFonts w:cstheme="minorHAnsi"/>
        </w:rPr>
        <w:t>addresses human trafficking includ</w:t>
      </w:r>
      <w:r w:rsidR="00A72709" w:rsidRPr="000552AA">
        <w:rPr>
          <w:rFonts w:cstheme="minorHAnsi"/>
        </w:rPr>
        <w:t>ing</w:t>
      </w:r>
      <w:r w:rsidR="0027145B" w:rsidRPr="000552AA">
        <w:rPr>
          <w:rFonts w:cstheme="minorHAnsi"/>
        </w:rPr>
        <w:t xml:space="preserve"> a requirement for employes to immediately report any suspicion </w:t>
      </w:r>
      <w:r w:rsidR="000552AA" w:rsidRPr="000552AA">
        <w:rPr>
          <w:rFonts w:cstheme="minorHAnsi"/>
        </w:rPr>
        <w:t xml:space="preserve">any activity impacting </w:t>
      </w:r>
      <w:r w:rsidR="0027145B" w:rsidRPr="000552AA">
        <w:rPr>
          <w:rFonts w:cstheme="minorHAnsi"/>
        </w:rPr>
        <w:t xml:space="preserve">human </w:t>
      </w:r>
      <w:r w:rsidR="000552AA" w:rsidRPr="000552AA">
        <w:rPr>
          <w:rFonts w:cstheme="minorHAnsi"/>
        </w:rPr>
        <w:t>rights</w:t>
      </w:r>
      <w:r w:rsidR="0027145B" w:rsidRPr="000552AA">
        <w:rPr>
          <w:rFonts w:cstheme="minorHAnsi"/>
        </w:rPr>
        <w:t xml:space="preserve">. </w:t>
      </w:r>
      <w:r w:rsidR="00A72709" w:rsidRPr="000552AA">
        <w:rPr>
          <w:rFonts w:cstheme="minorHAnsi"/>
        </w:rPr>
        <w:t xml:space="preserve">The Company also maintains a platform through which team members can anonymously report any concerns.  </w:t>
      </w:r>
      <w:r w:rsidR="0027145B" w:rsidRPr="000552AA">
        <w:rPr>
          <w:rFonts w:cstheme="minorHAnsi"/>
        </w:rPr>
        <w:t xml:space="preserve">The </w:t>
      </w:r>
      <w:r w:rsidR="00A72709" w:rsidRPr="000552AA">
        <w:rPr>
          <w:rFonts w:cstheme="minorHAnsi"/>
        </w:rPr>
        <w:t>C</w:t>
      </w:r>
      <w:r w:rsidR="0027145B" w:rsidRPr="000552AA">
        <w:rPr>
          <w:rFonts w:cstheme="minorHAnsi"/>
        </w:rPr>
        <w:t xml:space="preserve">ompany </w:t>
      </w:r>
      <w:r w:rsidRPr="000552AA">
        <w:rPr>
          <w:rFonts w:cstheme="minorHAnsi"/>
        </w:rPr>
        <w:t>commissions</w:t>
      </w:r>
      <w:r w:rsidR="0027145B" w:rsidRPr="000552AA">
        <w:rPr>
          <w:rFonts w:cstheme="minorHAnsi"/>
        </w:rPr>
        <w:t xml:space="preserve"> third</w:t>
      </w:r>
      <w:r w:rsidR="00374BE9" w:rsidRPr="000552AA">
        <w:rPr>
          <w:rFonts w:cstheme="minorHAnsi"/>
        </w:rPr>
        <w:t>-</w:t>
      </w:r>
      <w:r w:rsidR="0027145B" w:rsidRPr="000552AA">
        <w:rPr>
          <w:rFonts w:cstheme="minorHAnsi"/>
        </w:rPr>
        <w:t>party, independent social audits of its own facilities on a regular basis.</w:t>
      </w:r>
    </w:p>
    <w:p w14:paraId="40544150" w14:textId="77777777" w:rsidR="00D8429D" w:rsidRPr="000552AA" w:rsidRDefault="00D8429D" w:rsidP="00D8429D">
      <w:pPr>
        <w:pStyle w:val="ListParagraph"/>
        <w:spacing w:after="0" w:line="240" w:lineRule="auto"/>
        <w:ind w:left="1440"/>
        <w:rPr>
          <w:rFonts w:cstheme="minorHAnsi"/>
        </w:rPr>
      </w:pPr>
      <w:bookmarkStart w:id="0" w:name="_Hlk147232777"/>
    </w:p>
    <w:p w14:paraId="7B5A8090" w14:textId="7C4EC5F5" w:rsidR="00D8429D" w:rsidRPr="000552AA" w:rsidRDefault="00D8429D" w:rsidP="00D8429D">
      <w:pPr>
        <w:pStyle w:val="ListParagraph"/>
        <w:numPr>
          <w:ilvl w:val="0"/>
          <w:numId w:val="1"/>
        </w:numPr>
        <w:spacing w:after="0" w:line="240" w:lineRule="auto"/>
        <w:ind w:left="1440"/>
        <w:rPr>
          <w:rFonts w:cstheme="minorHAnsi"/>
        </w:rPr>
      </w:pPr>
      <w:r w:rsidRPr="000552AA">
        <w:rPr>
          <w:rFonts w:cstheme="minorHAnsi"/>
          <w:u w:val="single"/>
        </w:rPr>
        <w:t>T</w:t>
      </w:r>
      <w:r w:rsidR="001F749C" w:rsidRPr="000552AA">
        <w:rPr>
          <w:rFonts w:cstheme="minorHAnsi"/>
          <w:u w:val="single"/>
        </w:rPr>
        <w:t>raining</w:t>
      </w:r>
      <w:r w:rsidR="001F749C" w:rsidRPr="000552AA">
        <w:rPr>
          <w:rFonts w:cstheme="minorHAnsi"/>
        </w:rPr>
        <w:t>.  T</w:t>
      </w:r>
      <w:r w:rsidRPr="000552AA">
        <w:rPr>
          <w:rFonts w:cstheme="minorHAnsi"/>
        </w:rPr>
        <w:t>he Company provides all its salaried employees</w:t>
      </w:r>
      <w:r w:rsidR="000552AA" w:rsidRPr="000552AA">
        <w:rPr>
          <w:rFonts w:cstheme="minorHAnsi"/>
        </w:rPr>
        <w:t xml:space="preserve"> (</w:t>
      </w:r>
      <w:r w:rsidR="000552AA" w:rsidRPr="000552AA">
        <w:rPr>
          <w:rFonts w:cstheme="minorHAnsi"/>
          <w:color w:val="000000"/>
        </w:rPr>
        <w:t>which</w:t>
      </w:r>
      <w:r w:rsidR="000552AA" w:rsidRPr="000552AA">
        <w:rPr>
          <w:rFonts w:cstheme="minorHAnsi"/>
          <w:color w:val="000000"/>
          <w:spacing w:val="19"/>
        </w:rPr>
        <w:t xml:space="preserve"> </w:t>
      </w:r>
      <w:r w:rsidR="000552AA" w:rsidRPr="000552AA">
        <w:rPr>
          <w:rFonts w:cstheme="minorHAnsi"/>
          <w:color w:val="000000"/>
        </w:rPr>
        <w:t>encompasses</w:t>
      </w:r>
      <w:r w:rsidR="000552AA" w:rsidRPr="000552AA">
        <w:rPr>
          <w:rFonts w:cstheme="minorHAnsi"/>
          <w:color w:val="000000"/>
          <w:spacing w:val="19"/>
        </w:rPr>
        <w:t xml:space="preserve"> </w:t>
      </w:r>
      <w:r w:rsidR="000552AA" w:rsidRPr="000552AA">
        <w:rPr>
          <w:rFonts w:cstheme="minorHAnsi"/>
          <w:color w:val="000000"/>
        </w:rPr>
        <w:t>all</w:t>
      </w:r>
      <w:r w:rsidR="000552AA" w:rsidRPr="000552AA">
        <w:rPr>
          <w:rFonts w:cstheme="minorHAnsi"/>
          <w:color w:val="000000"/>
          <w:spacing w:val="20"/>
        </w:rPr>
        <w:t xml:space="preserve"> </w:t>
      </w:r>
      <w:r w:rsidR="000552AA" w:rsidRPr="000552AA">
        <w:rPr>
          <w:rFonts w:cstheme="minorHAnsi"/>
          <w:color w:val="000000"/>
        </w:rPr>
        <w:t>employees</w:t>
      </w:r>
      <w:r w:rsidR="000552AA" w:rsidRPr="000552AA">
        <w:rPr>
          <w:rFonts w:cstheme="minorHAnsi"/>
          <w:color w:val="000000"/>
          <w:spacing w:val="22"/>
        </w:rPr>
        <w:t xml:space="preserve"> </w:t>
      </w:r>
      <w:r w:rsidR="000552AA" w:rsidRPr="000552AA">
        <w:rPr>
          <w:rFonts w:cstheme="minorHAnsi"/>
          <w:color w:val="000000"/>
        </w:rPr>
        <w:t>making</w:t>
      </w:r>
      <w:r w:rsidR="000552AA" w:rsidRPr="000552AA">
        <w:rPr>
          <w:rFonts w:cstheme="minorHAnsi"/>
          <w:color w:val="000000"/>
          <w:spacing w:val="19"/>
        </w:rPr>
        <w:t xml:space="preserve"> </w:t>
      </w:r>
      <w:r w:rsidR="000552AA" w:rsidRPr="000552AA">
        <w:rPr>
          <w:rFonts w:cstheme="minorHAnsi"/>
          <w:color w:val="000000"/>
        </w:rPr>
        <w:t>contracting</w:t>
      </w:r>
      <w:r w:rsidR="000552AA" w:rsidRPr="000552AA">
        <w:rPr>
          <w:rFonts w:cstheme="minorHAnsi"/>
          <w:color w:val="000000"/>
          <w:spacing w:val="19"/>
        </w:rPr>
        <w:t xml:space="preserve"> </w:t>
      </w:r>
      <w:r w:rsidR="000552AA" w:rsidRPr="000552AA">
        <w:rPr>
          <w:rFonts w:cstheme="minorHAnsi"/>
          <w:color w:val="000000"/>
        </w:rPr>
        <w:t>or</w:t>
      </w:r>
      <w:r w:rsidR="000552AA" w:rsidRPr="000552AA">
        <w:rPr>
          <w:rFonts w:cstheme="minorHAnsi"/>
          <w:color w:val="000000"/>
          <w:spacing w:val="18"/>
        </w:rPr>
        <w:t xml:space="preserve"> </w:t>
      </w:r>
      <w:r w:rsidR="000552AA" w:rsidRPr="000552AA">
        <w:rPr>
          <w:rFonts w:cstheme="minorHAnsi"/>
          <w:color w:val="000000"/>
        </w:rPr>
        <w:t>purchasing</w:t>
      </w:r>
      <w:r w:rsidR="000552AA" w:rsidRPr="000552AA">
        <w:rPr>
          <w:rFonts w:cstheme="minorHAnsi"/>
          <w:color w:val="000000"/>
          <w:spacing w:val="20"/>
        </w:rPr>
        <w:t xml:space="preserve"> </w:t>
      </w:r>
      <w:r w:rsidR="000552AA" w:rsidRPr="000552AA">
        <w:rPr>
          <w:rFonts w:cstheme="minorHAnsi"/>
          <w:color w:val="000000"/>
        </w:rPr>
        <w:t>decisions</w:t>
      </w:r>
      <w:r w:rsidR="000552AA">
        <w:rPr>
          <w:rFonts w:cstheme="minorHAnsi"/>
          <w:color w:val="000000"/>
        </w:rPr>
        <w:t>)</w:t>
      </w:r>
      <w:r w:rsidRPr="000552AA">
        <w:rPr>
          <w:rFonts w:cstheme="minorHAnsi"/>
        </w:rPr>
        <w:t xml:space="preserve"> regular</w:t>
      </w:r>
      <w:r w:rsidR="00374BE9" w:rsidRPr="000552AA">
        <w:rPr>
          <w:rFonts w:cstheme="minorHAnsi"/>
        </w:rPr>
        <w:t xml:space="preserve"> third-party developed, online</w:t>
      </w:r>
      <w:r w:rsidRPr="000552AA">
        <w:rPr>
          <w:rFonts w:cstheme="minorHAnsi"/>
        </w:rPr>
        <w:t xml:space="preserve"> training on forced labor and human trafficking and slavery.</w:t>
      </w:r>
      <w:bookmarkEnd w:id="0"/>
    </w:p>
    <w:p w14:paraId="04D03A1E" w14:textId="77777777" w:rsidR="00DF1D83" w:rsidRPr="000552AA" w:rsidRDefault="00DF1D83" w:rsidP="00DF1D83">
      <w:pPr>
        <w:pStyle w:val="ListParagraph"/>
        <w:rPr>
          <w:rFonts w:cstheme="minorHAnsi"/>
        </w:rPr>
      </w:pPr>
    </w:p>
    <w:p w14:paraId="3B3DB52C" w14:textId="77777777" w:rsidR="002F7D65" w:rsidRPr="000552AA" w:rsidRDefault="002F7D65">
      <w:pPr>
        <w:rPr>
          <w:rFonts w:cstheme="minorHAnsi"/>
        </w:rPr>
      </w:pPr>
    </w:p>
    <w:sectPr w:rsidR="002F7D65" w:rsidRPr="000552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103A"/>
    <w:multiLevelType w:val="hybridMultilevel"/>
    <w:tmpl w:val="4DE4B034"/>
    <w:lvl w:ilvl="0" w:tplc="5220F43A">
      <w:start w:val="1"/>
      <w:numFmt w:val="bullet"/>
      <w:lvlText w:val=""/>
      <w:lvlJc w:val="left"/>
      <w:pPr>
        <w:ind w:left="720" w:hanging="360"/>
      </w:pPr>
      <w:rPr>
        <w:rFonts w:ascii="Symbol" w:hAnsi="Symbol" w:hint="default"/>
      </w:rPr>
    </w:lvl>
    <w:lvl w:ilvl="1" w:tplc="0570D3D4">
      <w:start w:val="1"/>
      <w:numFmt w:val="bullet"/>
      <w:lvlText w:val="o"/>
      <w:lvlJc w:val="left"/>
      <w:pPr>
        <w:ind w:left="1440" w:hanging="360"/>
      </w:pPr>
      <w:rPr>
        <w:rFonts w:ascii="Courier New" w:hAnsi="Courier New" w:cs="Courier New" w:hint="default"/>
      </w:rPr>
    </w:lvl>
    <w:lvl w:ilvl="2" w:tplc="F4368582">
      <w:start w:val="1"/>
      <w:numFmt w:val="bullet"/>
      <w:lvlText w:val=""/>
      <w:lvlJc w:val="left"/>
      <w:pPr>
        <w:ind w:left="2160" w:hanging="360"/>
      </w:pPr>
      <w:rPr>
        <w:rFonts w:ascii="Wingdings" w:hAnsi="Wingdings" w:hint="default"/>
      </w:rPr>
    </w:lvl>
    <w:lvl w:ilvl="3" w:tplc="3B6E4B40">
      <w:start w:val="1"/>
      <w:numFmt w:val="bullet"/>
      <w:lvlText w:val=""/>
      <w:lvlJc w:val="left"/>
      <w:pPr>
        <w:ind w:left="2880" w:hanging="360"/>
      </w:pPr>
      <w:rPr>
        <w:rFonts w:ascii="Symbol" w:hAnsi="Symbol" w:hint="default"/>
      </w:rPr>
    </w:lvl>
    <w:lvl w:ilvl="4" w:tplc="28489A44">
      <w:start w:val="1"/>
      <w:numFmt w:val="bullet"/>
      <w:lvlText w:val="o"/>
      <w:lvlJc w:val="left"/>
      <w:pPr>
        <w:ind w:left="3600" w:hanging="360"/>
      </w:pPr>
      <w:rPr>
        <w:rFonts w:ascii="Courier New" w:hAnsi="Courier New" w:cs="Courier New" w:hint="default"/>
      </w:rPr>
    </w:lvl>
    <w:lvl w:ilvl="5" w:tplc="CDC0BCCC">
      <w:start w:val="1"/>
      <w:numFmt w:val="bullet"/>
      <w:lvlText w:val=""/>
      <w:lvlJc w:val="left"/>
      <w:pPr>
        <w:ind w:left="4320" w:hanging="360"/>
      </w:pPr>
      <w:rPr>
        <w:rFonts w:ascii="Wingdings" w:hAnsi="Wingdings" w:hint="default"/>
      </w:rPr>
    </w:lvl>
    <w:lvl w:ilvl="6" w:tplc="665436A6">
      <w:start w:val="1"/>
      <w:numFmt w:val="bullet"/>
      <w:lvlText w:val=""/>
      <w:lvlJc w:val="left"/>
      <w:pPr>
        <w:ind w:left="5040" w:hanging="360"/>
      </w:pPr>
      <w:rPr>
        <w:rFonts w:ascii="Symbol" w:hAnsi="Symbol" w:hint="default"/>
      </w:rPr>
    </w:lvl>
    <w:lvl w:ilvl="7" w:tplc="F60CE97E">
      <w:start w:val="1"/>
      <w:numFmt w:val="bullet"/>
      <w:lvlText w:val="o"/>
      <w:lvlJc w:val="left"/>
      <w:pPr>
        <w:ind w:left="5760" w:hanging="360"/>
      </w:pPr>
      <w:rPr>
        <w:rFonts w:ascii="Courier New" w:hAnsi="Courier New" w:cs="Courier New" w:hint="default"/>
      </w:rPr>
    </w:lvl>
    <w:lvl w:ilvl="8" w:tplc="40A421F4">
      <w:start w:val="1"/>
      <w:numFmt w:val="bullet"/>
      <w:lvlText w:val=""/>
      <w:lvlJc w:val="left"/>
      <w:pPr>
        <w:ind w:left="6480" w:hanging="360"/>
      </w:pPr>
      <w:rPr>
        <w:rFonts w:ascii="Wingdings" w:hAnsi="Wingdings" w:hint="default"/>
      </w:rPr>
    </w:lvl>
  </w:abstractNum>
  <w:abstractNum w:abstractNumId="1" w15:restartNumberingAfterBreak="0">
    <w:nsid w:val="5CEB6732"/>
    <w:multiLevelType w:val="hybridMultilevel"/>
    <w:tmpl w:val="F4D420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10850213">
    <w:abstractNumId w:val="0"/>
  </w:num>
  <w:num w:numId="2" w16cid:durableId="2090811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29D"/>
    <w:rsid w:val="00000C66"/>
    <w:rsid w:val="000552AA"/>
    <w:rsid w:val="000F3AB9"/>
    <w:rsid w:val="00117B21"/>
    <w:rsid w:val="00172B8D"/>
    <w:rsid w:val="001E1B69"/>
    <w:rsid w:val="001F749C"/>
    <w:rsid w:val="0027145B"/>
    <w:rsid w:val="002F7D65"/>
    <w:rsid w:val="00374BE9"/>
    <w:rsid w:val="0040213E"/>
    <w:rsid w:val="004D35F2"/>
    <w:rsid w:val="00590E36"/>
    <w:rsid w:val="005F412B"/>
    <w:rsid w:val="00623E3C"/>
    <w:rsid w:val="00633286"/>
    <w:rsid w:val="006F0D1B"/>
    <w:rsid w:val="00816190"/>
    <w:rsid w:val="00921716"/>
    <w:rsid w:val="009D493A"/>
    <w:rsid w:val="009F032E"/>
    <w:rsid w:val="00A72709"/>
    <w:rsid w:val="00A90B73"/>
    <w:rsid w:val="00B17E11"/>
    <w:rsid w:val="00BA6E5F"/>
    <w:rsid w:val="00D35F15"/>
    <w:rsid w:val="00D53AF9"/>
    <w:rsid w:val="00D750F0"/>
    <w:rsid w:val="00D8429D"/>
    <w:rsid w:val="00DE4E8C"/>
    <w:rsid w:val="00DF1D83"/>
    <w:rsid w:val="00ED2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57FE"/>
  <w15:chartTrackingRefBased/>
  <w15:docId w15:val="{8EE5FFB4-5A7F-4028-BC15-6699D948E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29D"/>
    <w:pPr>
      <w:spacing w:line="256" w:lineRule="auto"/>
    </w:pPr>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D8429D"/>
    <w:pPr>
      <w:spacing w:line="240" w:lineRule="auto"/>
    </w:pPr>
    <w:rPr>
      <w:sz w:val="20"/>
      <w:szCs w:val="20"/>
    </w:rPr>
  </w:style>
  <w:style w:type="character" w:customStyle="1" w:styleId="CommentTextChar">
    <w:name w:val="Comment Text Char"/>
    <w:basedOn w:val="DefaultParagraphFont"/>
    <w:link w:val="CommentText"/>
    <w:uiPriority w:val="99"/>
    <w:rsid w:val="00D8429D"/>
    <w:rPr>
      <w:kern w:val="0"/>
      <w:sz w:val="20"/>
      <w:szCs w:val="20"/>
    </w:rPr>
  </w:style>
  <w:style w:type="paragraph" w:styleId="ListParagraph">
    <w:name w:val="List Paragraph"/>
    <w:basedOn w:val="Normal"/>
    <w:uiPriority w:val="34"/>
    <w:qFormat/>
    <w:rsid w:val="00D8429D"/>
    <w:pPr>
      <w:ind w:left="720"/>
      <w:contextualSpacing/>
    </w:pPr>
  </w:style>
  <w:style w:type="character" w:styleId="CommentReference">
    <w:name w:val="annotation reference"/>
    <w:basedOn w:val="DefaultParagraphFont"/>
    <w:uiPriority w:val="99"/>
    <w:semiHidden/>
    <w:unhideWhenUsed/>
    <w:rsid w:val="00D8429D"/>
    <w:rPr>
      <w:sz w:val="16"/>
      <w:szCs w:val="16"/>
    </w:rPr>
  </w:style>
  <w:style w:type="paragraph" w:styleId="CommentSubject">
    <w:name w:val="annotation subject"/>
    <w:basedOn w:val="CommentText"/>
    <w:next w:val="CommentText"/>
    <w:link w:val="CommentSubjectChar"/>
    <w:uiPriority w:val="99"/>
    <w:semiHidden/>
    <w:unhideWhenUsed/>
    <w:rsid w:val="0027145B"/>
    <w:rPr>
      <w:b/>
      <w:bCs/>
    </w:rPr>
  </w:style>
  <w:style w:type="character" w:customStyle="1" w:styleId="CommentSubjectChar">
    <w:name w:val="Comment Subject Char"/>
    <w:basedOn w:val="CommentTextChar"/>
    <w:link w:val="CommentSubject"/>
    <w:uiPriority w:val="99"/>
    <w:semiHidden/>
    <w:rsid w:val="0027145B"/>
    <w:rPr>
      <w:b/>
      <w:bCs/>
      <w:kern w:val="0"/>
      <w:sz w:val="20"/>
      <w:szCs w:val="20"/>
    </w:rPr>
  </w:style>
  <w:style w:type="paragraph" w:styleId="Revision">
    <w:name w:val="Revision"/>
    <w:hidden/>
    <w:uiPriority w:val="99"/>
    <w:semiHidden/>
    <w:rsid w:val="009D493A"/>
    <w:pPr>
      <w:spacing w:after="0" w:line="240" w:lineRule="auto"/>
    </w:pPr>
    <w:rPr>
      <w:kern w:val="0"/>
    </w:rPr>
  </w:style>
  <w:style w:type="paragraph" w:customStyle="1" w:styleId="Default">
    <w:name w:val="Default"/>
    <w:rsid w:val="00D35F15"/>
    <w:pPr>
      <w:autoSpaceDE w:val="0"/>
      <w:autoSpaceDN w:val="0"/>
      <w:adjustRightInd w:val="0"/>
      <w:spacing w:after="0" w:line="240" w:lineRule="auto"/>
    </w:pPr>
    <w:rPr>
      <w:rFonts w:ascii="Aptos" w:hAnsi="Aptos" w:cs="Apto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08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432</Words>
  <Characters>2692</Characters>
  <Application>Microsoft Office Word</Application>
  <DocSecurity>4</DocSecurity>
  <Lines>45</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Irvin, Jill</dc:creator>
  <cp:keywords/>
  <dc:description/>
  <cp:lastModifiedBy>Chin, Natalie</cp:lastModifiedBy>
  <cp:revision>2</cp:revision>
  <dcterms:created xsi:type="dcterms:W3CDTF">2025-10-08T19:35:00Z</dcterms:created>
  <dcterms:modified xsi:type="dcterms:W3CDTF">2025-10-08T19:35:00Z</dcterms:modified>
</cp:coreProperties>
</file>